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3F60" w14:textId="77777777" w:rsidR="00C420E2" w:rsidRPr="00664F53" w:rsidRDefault="00C420E2" w:rsidP="001A389A">
      <w:pPr>
        <w:spacing w:before="270" w:after="0" w:line="600" w:lineRule="atLeast"/>
        <w:ind w:left="-142" w:right="-483"/>
        <w:outlineLvl w:val="0"/>
        <w:rPr>
          <w:rFonts w:ascii="Avenir Next Demi Bold" w:eastAsia="Times New Roman" w:hAnsi="Avenir Next Demi Bold" w:cs="Cordia New"/>
          <w:b/>
          <w:bCs/>
          <w:color w:val="07477A"/>
          <w:kern w:val="36"/>
          <w:sz w:val="56"/>
          <w:szCs w:val="56"/>
          <w:lang w:val="en-GB" w:eastAsia="en-GB"/>
        </w:rPr>
      </w:pPr>
      <w:r w:rsidRPr="00664F53">
        <w:rPr>
          <w:rFonts w:ascii="Avenir Next Demi Bold" w:eastAsia="Times New Roman" w:hAnsi="Avenir Next Demi Bold" w:cs="Cordia New"/>
          <w:b/>
          <w:bCs/>
          <w:color w:val="07477A"/>
          <w:kern w:val="36"/>
          <w:sz w:val="56"/>
          <w:szCs w:val="56"/>
          <w:lang w:val="en-GB" w:eastAsia="en-GB"/>
        </w:rPr>
        <w:t>Call for Abstracts</w:t>
      </w:r>
    </w:p>
    <w:p w14:paraId="47BF57F9" w14:textId="7A7576C1" w:rsidR="00C420E2" w:rsidRPr="00664F53" w:rsidRDefault="00C420E2" w:rsidP="001A389A">
      <w:pPr>
        <w:spacing w:line="336" w:lineRule="atLeast"/>
        <w:ind w:left="-142" w:right="-483"/>
        <w:jc w:val="both"/>
        <w:rPr>
          <w:rFonts w:ascii="Galvji" w:eastAsia="Times New Roman" w:hAnsi="Galvji" w:cs="Arial"/>
          <w:color w:val="6A869D"/>
          <w:sz w:val="28"/>
          <w:szCs w:val="28"/>
          <w:lang w:val="en-GB" w:eastAsia="en-GB"/>
        </w:rPr>
      </w:pPr>
      <w:r w:rsidRPr="00664F53">
        <w:rPr>
          <w:rFonts w:ascii="Galvji" w:eastAsia="Times New Roman" w:hAnsi="Galvji" w:cs="Arial"/>
          <w:color w:val="6A869D"/>
          <w:sz w:val="28"/>
          <w:szCs w:val="28"/>
          <w:lang w:val="en-GB" w:eastAsia="en-GB"/>
        </w:rPr>
        <w:t>Present your work at the ENSCCA/Precision-BTC conference!</w:t>
      </w:r>
    </w:p>
    <w:p w14:paraId="729048EC" w14:textId="1DE70B45" w:rsidR="00C420E2" w:rsidRDefault="00C420E2" w:rsidP="001A389A">
      <w:pPr>
        <w:spacing w:line="240" w:lineRule="auto"/>
        <w:ind w:left="-142" w:right="-483"/>
        <w:jc w:val="both"/>
        <w:rPr>
          <w:rFonts w:ascii="Aptos" w:eastAsia="Times New Roman" w:hAnsi="Aptos" w:cs="Arial"/>
          <w:color w:val="333333"/>
          <w:lang w:val="en-GB" w:eastAsia="en-GB"/>
        </w:rPr>
      </w:pPr>
      <w:r w:rsidRPr="00664F53">
        <w:rPr>
          <w:rFonts w:ascii="Aptos" w:eastAsia="Times New Roman" w:hAnsi="Aptos" w:cs="Arial"/>
          <w:b/>
          <w:bCs/>
          <w:color w:val="333333"/>
          <w:lang w:val="en-GB" w:eastAsia="en-GB"/>
        </w:rPr>
        <w:t>The Congress organizers are pleased to invite you to submit an abstract by May 15</w:t>
      </w:r>
      <w:r w:rsidRPr="00664F53">
        <w:rPr>
          <w:rFonts w:ascii="Aptos" w:eastAsia="Times New Roman" w:hAnsi="Aptos" w:cs="Arial"/>
          <w:b/>
          <w:bCs/>
          <w:color w:val="333333"/>
          <w:vertAlign w:val="superscript"/>
          <w:lang w:val="en-GB" w:eastAsia="en-GB"/>
        </w:rPr>
        <w:t>th</w:t>
      </w:r>
      <w:r w:rsidRPr="00664F53">
        <w:rPr>
          <w:rFonts w:ascii="Aptos" w:eastAsia="Times New Roman" w:hAnsi="Aptos" w:cs="Arial"/>
          <w:b/>
          <w:bCs/>
          <w:color w:val="333333"/>
          <w:lang w:val="en-GB" w:eastAsia="en-GB"/>
        </w:rPr>
        <w:t xml:space="preserve">, </w:t>
      </w:r>
      <w:proofErr w:type="gramStart"/>
      <w:r w:rsidRPr="00664F53">
        <w:rPr>
          <w:rFonts w:ascii="Aptos" w:eastAsia="Times New Roman" w:hAnsi="Aptos" w:cs="Arial"/>
          <w:b/>
          <w:bCs/>
          <w:color w:val="333333"/>
          <w:lang w:val="en-GB" w:eastAsia="en-GB"/>
        </w:rPr>
        <w:t>2024</w:t>
      </w:r>
      <w:proofErr w:type="gramEnd"/>
      <w:r w:rsidRPr="00664F53">
        <w:rPr>
          <w:rFonts w:ascii="Aptos" w:eastAsia="Times New Roman" w:hAnsi="Aptos" w:cs="Arial"/>
          <w:b/>
          <w:bCs/>
          <w:color w:val="333333"/>
          <w:lang w:val="en-GB" w:eastAsia="en-GB"/>
        </w:rPr>
        <w:t xml:space="preserve"> </w:t>
      </w:r>
      <w:r w:rsidRPr="00664F53">
        <w:rPr>
          <w:rFonts w:ascii="Aptos" w:eastAsia="Times New Roman" w:hAnsi="Aptos" w:cs="Arial"/>
          <w:color w:val="333333"/>
          <w:lang w:val="en-GB" w:eastAsia="en-GB"/>
        </w:rPr>
        <w:t xml:space="preserve">for consideration for the ENSCCA/Precision-BTC meeting. We welcome abstracts on basic, translational, and clinical research on biliary cancers. </w:t>
      </w:r>
      <w:r w:rsidR="00C16DBB" w:rsidRPr="00C2555A">
        <w:rPr>
          <w:rFonts w:ascii="Aptos" w:eastAsia="Times New Roman" w:hAnsi="Aptos" w:cs="Arial"/>
          <w:color w:val="333333"/>
          <w:lang w:val="en-GB" w:eastAsia="en-GB"/>
        </w:rPr>
        <w:t xml:space="preserve">Please submit your summary </w:t>
      </w:r>
      <w:r w:rsidR="007D5867" w:rsidRPr="00C2555A">
        <w:rPr>
          <w:rFonts w:ascii="Aptos" w:eastAsia="Times New Roman" w:hAnsi="Aptos" w:cs="Arial"/>
          <w:color w:val="333333"/>
          <w:lang w:val="en-GB" w:eastAsia="en-GB"/>
        </w:rPr>
        <w:t xml:space="preserve">as a pdf file </w:t>
      </w:r>
      <w:r w:rsidR="00C16DBB" w:rsidRPr="00C2555A">
        <w:rPr>
          <w:rFonts w:ascii="Aptos" w:eastAsia="Times New Roman" w:hAnsi="Aptos" w:cs="Arial"/>
          <w:color w:val="333333"/>
          <w:lang w:val="en-GB" w:eastAsia="en-GB"/>
        </w:rPr>
        <w:t>logging in to the COST members-only area of the https://precision-btc.eu website</w:t>
      </w:r>
      <w:r w:rsidR="00823113" w:rsidRPr="00C2555A">
        <w:rPr>
          <w:rFonts w:ascii="Aptos" w:eastAsia="Times New Roman" w:hAnsi="Aptos" w:cs="Arial"/>
          <w:color w:val="333333"/>
          <w:lang w:val="en-GB" w:eastAsia="en-GB"/>
        </w:rPr>
        <w:t xml:space="preserve"> and going to </w:t>
      </w:r>
      <w:r w:rsidR="00823113" w:rsidRPr="001A389A">
        <w:rPr>
          <w:rFonts w:ascii="Aptos" w:eastAsia="Times New Roman" w:hAnsi="Aptos" w:cs="Arial"/>
          <w:i/>
          <w:iCs/>
          <w:color w:val="333333"/>
          <w:lang w:val="en-GB" w:eastAsia="en-GB"/>
        </w:rPr>
        <w:t>EVENTS</w:t>
      </w:r>
      <w:r w:rsidR="00C16DBB" w:rsidRPr="00C2555A">
        <w:rPr>
          <w:rFonts w:ascii="Aptos" w:eastAsia="Times New Roman" w:hAnsi="Aptos" w:cs="Arial"/>
          <w:color w:val="333333"/>
          <w:lang w:val="en-GB" w:eastAsia="en-GB"/>
        </w:rPr>
        <w:t>.</w:t>
      </w:r>
      <w:r w:rsidR="00D90FFB" w:rsidRPr="00D90FFB">
        <w:rPr>
          <w:rFonts w:ascii="Aptos" w:eastAsia="Times New Roman" w:hAnsi="Aptos" w:cs="Arial"/>
          <w:b/>
          <w:bCs/>
          <w:color w:val="333333"/>
          <w:lang w:val="en-GB" w:eastAsia="en-GB"/>
        </w:rPr>
        <w:t xml:space="preserve"> You </w:t>
      </w:r>
      <w:r w:rsidR="00D90FFB" w:rsidRPr="001A389A">
        <w:rPr>
          <w:rFonts w:ascii="Aptos" w:eastAsia="Times New Roman" w:hAnsi="Aptos" w:cs="Arial"/>
          <w:b/>
          <w:bCs/>
          <w:color w:val="333333"/>
          <w:lang w:val="en-GB" w:eastAsia="en-GB"/>
        </w:rPr>
        <w:t>must</w:t>
      </w:r>
      <w:r w:rsidR="00D90FFB" w:rsidRPr="00D90FFB">
        <w:rPr>
          <w:rFonts w:ascii="Aptos" w:eastAsia="Times New Roman" w:hAnsi="Aptos" w:cs="Arial"/>
          <w:b/>
          <w:bCs/>
          <w:color w:val="333333"/>
          <w:lang w:val="en-GB" w:eastAsia="en-GB"/>
        </w:rPr>
        <w:t xml:space="preserve"> be registered </w:t>
      </w:r>
      <w:proofErr w:type="gramStart"/>
      <w:r w:rsidR="0093647C">
        <w:rPr>
          <w:rFonts w:ascii="Aptos" w:eastAsia="Times New Roman" w:hAnsi="Aptos" w:cs="Arial"/>
          <w:b/>
          <w:bCs/>
          <w:color w:val="333333"/>
          <w:lang w:val="en-GB" w:eastAsia="en-GB"/>
        </w:rPr>
        <w:t xml:space="preserve">with </w:t>
      </w:r>
      <w:r w:rsidR="00D90FFB" w:rsidRPr="00D90FFB">
        <w:rPr>
          <w:rFonts w:ascii="Aptos" w:eastAsia="Times New Roman" w:hAnsi="Aptos" w:cs="Arial"/>
          <w:b/>
          <w:bCs/>
          <w:color w:val="333333"/>
          <w:lang w:val="en-GB" w:eastAsia="en-GB"/>
        </w:rPr>
        <w:t xml:space="preserve"> the</w:t>
      </w:r>
      <w:proofErr w:type="gramEnd"/>
      <w:r w:rsidR="00D90FFB" w:rsidRPr="00D90FFB">
        <w:rPr>
          <w:rFonts w:ascii="Aptos" w:eastAsia="Times New Roman" w:hAnsi="Aptos" w:cs="Arial"/>
          <w:b/>
          <w:bCs/>
          <w:color w:val="333333"/>
          <w:lang w:val="en-GB" w:eastAsia="en-GB"/>
        </w:rPr>
        <w:t xml:space="preserve"> website to access the members-only area</w:t>
      </w:r>
      <w:r w:rsidR="00D90FFB">
        <w:rPr>
          <w:rFonts w:ascii="Aptos" w:eastAsia="Times New Roman" w:hAnsi="Aptos" w:cs="Arial"/>
          <w:b/>
          <w:bCs/>
          <w:color w:val="333333"/>
          <w:lang w:val="en-GB" w:eastAsia="en-GB"/>
        </w:rPr>
        <w:t xml:space="preserve">. </w:t>
      </w:r>
      <w:r w:rsidR="00D90FFB" w:rsidRPr="00D90FFB" w:rsidDel="00C16DBB">
        <w:rPr>
          <w:rFonts w:ascii="Aptos" w:eastAsia="Times New Roman" w:hAnsi="Aptos" w:cs="Arial"/>
          <w:color w:val="333333"/>
          <w:highlight w:val="yellow"/>
          <w:lang w:val="en-GB" w:eastAsia="en-GB"/>
        </w:rPr>
        <w:t xml:space="preserve"> </w:t>
      </w:r>
    </w:p>
    <w:p w14:paraId="2A7930F7" w14:textId="199135FD" w:rsidR="00C16DBB" w:rsidRDefault="00D90FFB" w:rsidP="001A389A">
      <w:pPr>
        <w:spacing w:line="240" w:lineRule="auto"/>
        <w:ind w:left="-142" w:right="-483"/>
        <w:jc w:val="both"/>
        <w:rPr>
          <w:rFonts w:ascii="Aptos" w:eastAsia="Times New Roman" w:hAnsi="Aptos" w:cs="Arial"/>
          <w:color w:val="333333"/>
          <w:lang w:val="en-GB" w:eastAsia="en-GB"/>
        </w:rPr>
      </w:pPr>
      <w:r>
        <w:rPr>
          <w:rFonts w:ascii="Aptos" w:eastAsia="Times New Roman" w:hAnsi="Aptos" w:cs="Arial"/>
          <w:noProof/>
          <w:color w:val="333333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6E877" wp14:editId="61E38659">
                <wp:simplePos x="0" y="0"/>
                <wp:positionH relativeFrom="column">
                  <wp:posOffset>5517662</wp:posOffset>
                </wp:positionH>
                <wp:positionV relativeFrom="paragraph">
                  <wp:posOffset>208133</wp:posOffset>
                </wp:positionV>
                <wp:extent cx="312469" cy="81818"/>
                <wp:effectExtent l="25400" t="38100" r="17780" b="58420"/>
                <wp:wrapNone/>
                <wp:docPr id="1989951793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69" cy="818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C6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434.45pt;margin-top:16.4pt;width:24.6pt;height:6.4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" strokecolor="red" strokeweight="3pt">
                <v:stroke endarrow="block" joinstyle="miter"/>
              </v:shape>
            </w:pict>
          </mc:Fallback>
        </mc:AlternateContent>
      </w:r>
      <w:r w:rsidR="00C16DBB">
        <w:rPr>
          <w:rFonts w:ascii="Aptos" w:eastAsia="Times New Roman" w:hAnsi="Aptos" w:cs="Arial"/>
          <w:noProof/>
          <w:color w:val="333333"/>
          <w:lang w:val="en-GB" w:eastAsia="en-GB"/>
        </w:rPr>
        <w:drawing>
          <wp:inline distT="0" distB="0" distL="0" distR="0" wp14:anchorId="542111FA" wp14:editId="61A1A260">
            <wp:extent cx="5670000" cy="637200"/>
            <wp:effectExtent l="0" t="0" r="0" b="0"/>
            <wp:docPr id="6646240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24021" name="Imagen 6646240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0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9941D" w14:textId="2720633A" w:rsidR="00C420E2" w:rsidRPr="00664F53" w:rsidRDefault="00C420E2" w:rsidP="001A389A">
      <w:pPr>
        <w:spacing w:line="336" w:lineRule="atLeast"/>
        <w:ind w:left="-142" w:right="-483"/>
        <w:jc w:val="both"/>
        <w:rPr>
          <w:rFonts w:ascii="Aptos" w:eastAsia="Times New Roman" w:hAnsi="Aptos" w:cs="Arial"/>
          <w:b/>
          <w:bCs/>
          <w:color w:val="333333"/>
          <w:lang w:val="en-GB" w:eastAsia="en-GB"/>
        </w:rPr>
      </w:pPr>
      <w:r w:rsidRPr="006D3467">
        <w:rPr>
          <w:rFonts w:ascii="Aptos" w:eastAsia="Times New Roman" w:hAnsi="Aptos" w:cs="Arial"/>
          <w:b/>
          <w:bCs/>
          <w:color w:val="333333"/>
          <w:lang w:val="en-GB" w:eastAsia="en-GB"/>
        </w:rPr>
        <w:t xml:space="preserve">Submitted abstracts will be considered for poster presentations and oral </w:t>
      </w:r>
      <w:r w:rsidR="00464267">
        <w:rPr>
          <w:rFonts w:ascii="Aptos" w:eastAsia="Times New Roman" w:hAnsi="Aptos" w:cs="Arial"/>
          <w:b/>
          <w:bCs/>
          <w:color w:val="333333"/>
          <w:lang w:val="en-GB" w:eastAsia="en-GB"/>
        </w:rPr>
        <w:t>flash talks.</w:t>
      </w:r>
    </w:p>
    <w:p w14:paraId="0573EE83" w14:textId="77777777" w:rsidR="00C420E2" w:rsidRPr="00664F53" w:rsidRDefault="00C420E2" w:rsidP="001A389A">
      <w:pPr>
        <w:spacing w:line="240" w:lineRule="auto"/>
        <w:ind w:left="-142" w:right="-483"/>
        <w:jc w:val="both"/>
        <w:rPr>
          <w:rFonts w:ascii="Aptos" w:eastAsia="Times New Roman" w:hAnsi="Aptos" w:cs="Arial"/>
          <w:color w:val="333333"/>
          <w:lang w:val="en-GB" w:eastAsia="en-GB"/>
        </w:rPr>
      </w:pPr>
      <w:r w:rsidRPr="00664F53">
        <w:rPr>
          <w:rFonts w:ascii="Aptos" w:eastAsia="Times New Roman" w:hAnsi="Aptos" w:cs="Arial"/>
          <w:color w:val="333333"/>
          <w:lang w:val="en-GB" w:eastAsia="en-GB"/>
        </w:rPr>
        <w:t xml:space="preserve">Posters will be organized by areas (basic, translational, clinical) and opportunities for presenters to discuss their work during a Poster Tour will be provided in the Congress schedule. </w:t>
      </w:r>
    </w:p>
    <w:p w14:paraId="31846FBB" w14:textId="2BA776FF" w:rsidR="00C420E2" w:rsidRDefault="00C420E2" w:rsidP="001A389A">
      <w:pPr>
        <w:spacing w:line="240" w:lineRule="auto"/>
        <w:ind w:left="-142" w:right="-483"/>
        <w:jc w:val="both"/>
        <w:rPr>
          <w:rFonts w:ascii="Aptos" w:eastAsia="Times New Roman" w:hAnsi="Aptos" w:cs="Arial"/>
          <w:color w:val="333333"/>
          <w:lang w:val="en-GB" w:eastAsia="en-GB"/>
        </w:rPr>
      </w:pPr>
      <w:r w:rsidRPr="00664F53">
        <w:rPr>
          <w:rFonts w:ascii="Aptos" w:eastAsia="Times New Roman" w:hAnsi="Aptos" w:cs="Arial"/>
          <w:color w:val="333333"/>
          <w:lang w:val="en-GB" w:eastAsia="en-GB"/>
        </w:rPr>
        <w:t xml:space="preserve">Poster Prizes will be awarded during the event with </w:t>
      </w:r>
      <w:r w:rsidRPr="00664F53">
        <w:rPr>
          <w:rFonts w:ascii="Aptos" w:eastAsia="Times New Roman" w:hAnsi="Aptos" w:cs="Arial"/>
          <w:b/>
          <w:bCs/>
          <w:i/>
          <w:iCs/>
          <w:color w:val="333333"/>
          <w:lang w:val="en-GB" w:eastAsia="en-GB"/>
        </w:rPr>
        <w:t>Gold Award (</w:t>
      </w:r>
      <w:r w:rsidR="00A62014" w:rsidRPr="00664F53">
        <w:rPr>
          <w:rFonts w:ascii="Aptos" w:eastAsia="Times New Roman" w:hAnsi="Aptos" w:cs="Arial"/>
          <w:b/>
          <w:bCs/>
          <w:i/>
          <w:iCs/>
          <w:color w:val="333333"/>
          <w:lang w:val="en-GB" w:eastAsia="en-GB"/>
        </w:rPr>
        <w:t xml:space="preserve">EUR </w:t>
      </w:r>
      <w:r w:rsidR="008702A9">
        <w:rPr>
          <w:rFonts w:ascii="Aptos" w:eastAsia="Times New Roman" w:hAnsi="Aptos" w:cs="Arial"/>
          <w:b/>
          <w:bCs/>
          <w:i/>
          <w:iCs/>
          <w:color w:val="333333"/>
          <w:lang w:val="en-GB" w:eastAsia="en-GB"/>
        </w:rPr>
        <w:t>10</w:t>
      </w:r>
      <w:r w:rsidRPr="00664F53">
        <w:rPr>
          <w:rFonts w:ascii="Aptos" w:eastAsia="Times New Roman" w:hAnsi="Aptos" w:cs="Arial"/>
          <w:b/>
          <w:bCs/>
          <w:i/>
          <w:iCs/>
          <w:color w:val="333333"/>
          <w:lang w:val="en-GB" w:eastAsia="en-GB"/>
        </w:rPr>
        <w:t>00)</w:t>
      </w:r>
      <w:r w:rsidRPr="00664F53">
        <w:rPr>
          <w:rFonts w:ascii="Aptos" w:eastAsia="Times New Roman" w:hAnsi="Aptos" w:cs="Arial"/>
          <w:color w:val="333333"/>
          <w:lang w:val="en-GB" w:eastAsia="en-GB"/>
        </w:rPr>
        <w:t xml:space="preserve"> for the best three abstracts (selected for oral talk) and </w:t>
      </w:r>
      <w:r w:rsidRPr="00664F53">
        <w:rPr>
          <w:rFonts w:ascii="Aptos" w:eastAsia="Times New Roman" w:hAnsi="Aptos" w:cs="Arial"/>
          <w:b/>
          <w:bCs/>
          <w:i/>
          <w:iCs/>
          <w:color w:val="333333"/>
          <w:lang w:val="en-GB" w:eastAsia="en-GB"/>
        </w:rPr>
        <w:t>Silver Award (</w:t>
      </w:r>
      <w:r w:rsidR="00A62014" w:rsidRPr="00664F53">
        <w:rPr>
          <w:rFonts w:ascii="Aptos" w:eastAsia="Times New Roman" w:hAnsi="Aptos" w:cs="Arial"/>
          <w:b/>
          <w:bCs/>
          <w:i/>
          <w:iCs/>
          <w:color w:val="333333"/>
          <w:lang w:val="en-GB" w:eastAsia="en-GB"/>
        </w:rPr>
        <w:t xml:space="preserve">EUR </w:t>
      </w:r>
      <w:r w:rsidRPr="00664F53">
        <w:rPr>
          <w:rFonts w:ascii="Aptos" w:eastAsia="Times New Roman" w:hAnsi="Aptos" w:cs="Arial"/>
          <w:b/>
          <w:bCs/>
          <w:i/>
          <w:iCs/>
          <w:color w:val="333333"/>
          <w:lang w:val="en-GB" w:eastAsia="en-GB"/>
        </w:rPr>
        <w:t>300)</w:t>
      </w:r>
      <w:r w:rsidRPr="00664F53">
        <w:rPr>
          <w:rFonts w:ascii="Aptos" w:eastAsia="Times New Roman" w:hAnsi="Aptos" w:cs="Arial"/>
          <w:color w:val="333333"/>
          <w:lang w:val="en-GB" w:eastAsia="en-GB"/>
        </w:rPr>
        <w:t xml:space="preserve"> for the best abstracts presente</w:t>
      </w:r>
      <w:r w:rsidR="00462982" w:rsidRPr="00664F53">
        <w:rPr>
          <w:rFonts w:ascii="Aptos" w:eastAsia="Times New Roman" w:hAnsi="Aptos" w:cs="Arial"/>
          <w:color w:val="333333"/>
          <w:lang w:val="en-GB" w:eastAsia="en-GB"/>
        </w:rPr>
        <w:t>d</w:t>
      </w:r>
      <w:r w:rsidRPr="00664F53">
        <w:rPr>
          <w:rFonts w:ascii="Aptos" w:eastAsia="Times New Roman" w:hAnsi="Aptos" w:cs="Arial"/>
          <w:color w:val="333333"/>
          <w:lang w:val="en-GB" w:eastAsia="en-GB"/>
        </w:rPr>
        <w:t xml:space="preserve"> as poster</w:t>
      </w:r>
      <w:r w:rsidR="00462982" w:rsidRPr="00664F53">
        <w:rPr>
          <w:rFonts w:ascii="Aptos" w:eastAsia="Times New Roman" w:hAnsi="Aptos" w:cs="Arial"/>
          <w:color w:val="333333"/>
          <w:lang w:val="en-GB" w:eastAsia="en-GB"/>
        </w:rPr>
        <w:t>s</w:t>
      </w:r>
      <w:r w:rsidRPr="00664F53">
        <w:rPr>
          <w:rFonts w:ascii="Aptos" w:eastAsia="Times New Roman" w:hAnsi="Aptos" w:cs="Arial"/>
          <w:color w:val="333333"/>
          <w:lang w:val="en-GB" w:eastAsia="en-GB"/>
        </w:rPr>
        <w:t>.</w:t>
      </w:r>
    </w:p>
    <w:p w14:paraId="40BF262F" w14:textId="2C3ACE65" w:rsidR="00C420E2" w:rsidRPr="00664F53" w:rsidRDefault="00C420E2" w:rsidP="001A389A">
      <w:pPr>
        <w:spacing w:line="240" w:lineRule="auto"/>
        <w:ind w:left="-142" w:right="-483"/>
        <w:jc w:val="both"/>
        <w:rPr>
          <w:rFonts w:ascii="Aptos" w:eastAsia="Times New Roman" w:hAnsi="Aptos" w:cs="Arial"/>
          <w:i/>
          <w:iCs/>
          <w:color w:val="333333"/>
          <w:lang w:val="en-GB" w:eastAsia="en-GB"/>
        </w:rPr>
      </w:pPr>
      <w:r w:rsidRPr="00664F53">
        <w:rPr>
          <w:rFonts w:ascii="Aptos" w:eastAsia="Times New Roman" w:hAnsi="Aptos" w:cs="Arial"/>
          <w:color w:val="333333"/>
          <w:lang w:val="en-GB" w:eastAsia="en-GB"/>
        </w:rPr>
        <w:t xml:space="preserve">Accepted abstracts </w:t>
      </w:r>
      <w:r w:rsidR="00462982" w:rsidRPr="00664F53">
        <w:rPr>
          <w:rFonts w:ascii="Aptos" w:eastAsia="Times New Roman" w:hAnsi="Aptos" w:cs="Arial"/>
          <w:color w:val="333333"/>
          <w:lang w:val="en-GB" w:eastAsia="en-GB"/>
        </w:rPr>
        <w:t xml:space="preserve">will </w:t>
      </w:r>
      <w:r w:rsidRPr="00664F53">
        <w:rPr>
          <w:rFonts w:ascii="Aptos" w:eastAsia="Times New Roman" w:hAnsi="Aptos" w:cs="Arial"/>
          <w:color w:val="333333"/>
          <w:lang w:val="en-GB" w:eastAsia="en-GB"/>
        </w:rPr>
        <w:t>be displayed on the Congress website (</w:t>
      </w:r>
      <w:hyperlink r:id="rId9" w:history="1">
        <w:r w:rsidRPr="001A389A">
          <w:rPr>
            <w:color w:val="2E74B5" w:themeColor="accent1" w:themeShade="BF"/>
          </w:rPr>
          <w:t>https://precision-btc.eu</w:t>
        </w:r>
      </w:hyperlink>
      <w:r w:rsidRPr="00664F53">
        <w:rPr>
          <w:rFonts w:ascii="Aptos" w:eastAsia="Times New Roman" w:hAnsi="Aptos" w:cs="Arial"/>
          <w:color w:val="333333"/>
          <w:lang w:val="en-GB" w:eastAsia="en-GB"/>
        </w:rPr>
        <w:t>)</w:t>
      </w:r>
      <w:r w:rsidRPr="00664F53">
        <w:rPr>
          <w:rFonts w:ascii="Aptos" w:eastAsia="Times New Roman" w:hAnsi="Aptos" w:cs="Arial"/>
          <w:i/>
          <w:iCs/>
          <w:color w:val="333333"/>
          <w:lang w:val="en-GB" w:eastAsia="en-GB"/>
        </w:rPr>
        <w:t xml:space="preserve"> </w:t>
      </w:r>
      <w:r w:rsidR="00606F65" w:rsidRPr="00664F53">
        <w:rPr>
          <w:rFonts w:ascii="Aptos" w:eastAsia="Times New Roman" w:hAnsi="Aptos" w:cs="Arial"/>
          <w:i/>
          <w:iCs/>
          <w:color w:val="333333"/>
          <w:lang w:val="en-GB" w:eastAsia="en-GB"/>
        </w:rPr>
        <w:t xml:space="preserve">subject to </w:t>
      </w:r>
      <w:r w:rsidRPr="00664F53">
        <w:rPr>
          <w:rFonts w:ascii="Aptos" w:eastAsia="Times New Roman" w:hAnsi="Aptos" w:cs="Arial"/>
          <w:i/>
          <w:iCs/>
          <w:color w:val="333333"/>
          <w:lang w:val="en-GB" w:eastAsia="en-GB"/>
        </w:rPr>
        <w:t>author approval.</w:t>
      </w:r>
    </w:p>
    <w:p w14:paraId="0028BD55" w14:textId="77777777" w:rsidR="00C420E2" w:rsidRPr="00664F53" w:rsidRDefault="00C420E2" w:rsidP="001A389A">
      <w:pPr>
        <w:spacing w:line="240" w:lineRule="auto"/>
        <w:ind w:left="-142" w:right="-483"/>
        <w:jc w:val="both"/>
        <w:rPr>
          <w:rFonts w:ascii="Arial" w:eastAsia="Times New Roman" w:hAnsi="Arial" w:cs="Arial"/>
          <w:color w:val="333333"/>
          <w:lang w:val="en-GB" w:eastAsia="en-GB"/>
        </w:rPr>
      </w:pPr>
    </w:p>
    <w:p w14:paraId="35F41AB4" w14:textId="77777777" w:rsidR="00C420E2" w:rsidRPr="00623CA0" w:rsidRDefault="00C420E2" w:rsidP="001A389A">
      <w:pPr>
        <w:pBdr>
          <w:bottom w:val="single" w:sz="4" w:space="4" w:color="auto"/>
        </w:pBdr>
        <w:spacing w:line="240" w:lineRule="auto"/>
        <w:ind w:left="-142" w:right="-483"/>
        <w:jc w:val="both"/>
        <w:outlineLvl w:val="1"/>
        <w:rPr>
          <w:rFonts w:ascii="Galvji" w:eastAsia="Times New Roman" w:hAnsi="Galvji" w:cs="Arial"/>
          <w:color w:val="07477A"/>
          <w:sz w:val="32"/>
          <w:szCs w:val="32"/>
          <w:lang w:val="en-GB" w:eastAsia="en-GB"/>
        </w:rPr>
      </w:pPr>
      <w:r w:rsidRPr="00623CA0">
        <w:rPr>
          <w:rFonts w:ascii="Galvji" w:eastAsia="Times New Roman" w:hAnsi="Galvji" w:cs="Arial"/>
          <w:color w:val="07477A"/>
          <w:sz w:val="32"/>
          <w:szCs w:val="32"/>
          <w:lang w:val="en-GB" w:eastAsia="en-GB"/>
        </w:rPr>
        <w:t>Important points</w:t>
      </w:r>
    </w:p>
    <w:p w14:paraId="70B14767" w14:textId="77777777" w:rsidR="00C420E2" w:rsidRPr="00664F53" w:rsidRDefault="00C420E2" w:rsidP="001A389A">
      <w:pPr>
        <w:numPr>
          <w:ilvl w:val="0"/>
          <w:numId w:val="5"/>
        </w:numPr>
        <w:spacing w:after="150" w:line="276" w:lineRule="auto"/>
        <w:ind w:left="-142" w:right="-483" w:hanging="426"/>
        <w:jc w:val="both"/>
        <w:rPr>
          <w:rFonts w:ascii="Aptos" w:eastAsia="Times New Roman" w:hAnsi="Aptos" w:cs="Arial"/>
          <w:color w:val="333333"/>
          <w:lang w:val="en-GB" w:eastAsia="en-GB"/>
        </w:rPr>
      </w:pPr>
      <w:r w:rsidRPr="00664F53">
        <w:rPr>
          <w:rFonts w:ascii="Aptos" w:eastAsia="Times New Roman" w:hAnsi="Aptos" w:cs="Arial"/>
          <w:color w:val="333333"/>
          <w:lang w:val="en-GB" w:eastAsia="en-GB"/>
        </w:rPr>
        <w:t>Abstracts must be submitted in English. </w:t>
      </w:r>
    </w:p>
    <w:p w14:paraId="5C0D24BD" w14:textId="4D57CB63" w:rsidR="00C420E2" w:rsidRPr="00664F53" w:rsidRDefault="00C420E2" w:rsidP="001A389A">
      <w:pPr>
        <w:numPr>
          <w:ilvl w:val="0"/>
          <w:numId w:val="5"/>
        </w:numPr>
        <w:spacing w:after="150" w:line="276" w:lineRule="auto"/>
        <w:ind w:left="-142" w:right="-483" w:hanging="426"/>
        <w:jc w:val="both"/>
        <w:rPr>
          <w:rFonts w:ascii="Aptos" w:eastAsia="Times New Roman" w:hAnsi="Aptos" w:cs="Arial"/>
          <w:color w:val="333333"/>
          <w:lang w:val="en-GB" w:eastAsia="en-GB"/>
        </w:rPr>
      </w:pPr>
      <w:r w:rsidRPr="00664F53">
        <w:rPr>
          <w:rFonts w:ascii="Aptos" w:eastAsia="Times New Roman" w:hAnsi="Aptos" w:cs="Arial"/>
          <w:color w:val="333333"/>
          <w:lang w:val="en-GB" w:eastAsia="en-GB"/>
        </w:rPr>
        <w:t>Abstracts must report new or recent substantive scientific results from the author(s).</w:t>
      </w:r>
    </w:p>
    <w:p w14:paraId="7F475D45" w14:textId="5C5D1292" w:rsidR="00C420E2" w:rsidRPr="00664F53" w:rsidRDefault="00C420E2" w:rsidP="001A389A">
      <w:pPr>
        <w:numPr>
          <w:ilvl w:val="0"/>
          <w:numId w:val="5"/>
        </w:numPr>
        <w:spacing w:line="276" w:lineRule="auto"/>
        <w:ind w:left="-142" w:right="-483" w:hanging="426"/>
        <w:jc w:val="both"/>
        <w:rPr>
          <w:rFonts w:ascii="Aptos" w:eastAsia="Times New Roman" w:hAnsi="Aptos" w:cs="Arial"/>
          <w:color w:val="333333"/>
          <w:lang w:val="en-GB" w:eastAsia="en-GB"/>
        </w:rPr>
      </w:pPr>
      <w:r w:rsidRPr="00664F53">
        <w:rPr>
          <w:rFonts w:ascii="Aptos" w:eastAsia="Times New Roman" w:hAnsi="Aptos" w:cs="Arial"/>
          <w:color w:val="333333"/>
          <w:lang w:val="en-GB" w:eastAsia="en-GB"/>
        </w:rPr>
        <w:t>The presenting author of the abstract must complete registration by May 15</w:t>
      </w:r>
      <w:r w:rsidRPr="00664F53">
        <w:rPr>
          <w:rFonts w:ascii="Aptos" w:eastAsia="Times New Roman" w:hAnsi="Aptos" w:cs="Arial"/>
          <w:color w:val="333333"/>
          <w:vertAlign w:val="superscript"/>
          <w:lang w:val="en-GB" w:eastAsia="en-GB"/>
        </w:rPr>
        <w:t>th</w:t>
      </w:r>
      <w:r w:rsidR="00BF1494">
        <w:rPr>
          <w:rFonts w:ascii="Aptos" w:eastAsia="Times New Roman" w:hAnsi="Aptos" w:cs="Arial"/>
          <w:color w:val="333333"/>
          <w:lang w:val="en-GB" w:eastAsia="en-GB"/>
        </w:rPr>
        <w:t xml:space="preserve">, </w:t>
      </w:r>
      <w:proofErr w:type="gramStart"/>
      <w:r w:rsidR="00BF1494" w:rsidRPr="00664F53">
        <w:rPr>
          <w:rFonts w:ascii="Aptos" w:eastAsia="Times New Roman" w:hAnsi="Aptos" w:cs="Arial"/>
          <w:color w:val="333333"/>
          <w:lang w:val="en-GB" w:eastAsia="en-GB"/>
        </w:rPr>
        <w:t>2024</w:t>
      </w:r>
      <w:proofErr w:type="gramEnd"/>
      <w:r w:rsidRPr="00664F53">
        <w:rPr>
          <w:rFonts w:ascii="Aptos" w:eastAsia="Times New Roman" w:hAnsi="Aptos" w:cs="Arial"/>
          <w:color w:val="333333"/>
          <w:lang w:val="en-GB" w:eastAsia="en-GB"/>
        </w:rPr>
        <w:t xml:space="preserve"> to ensure abstract assessment and inclusion in the Programme.</w:t>
      </w:r>
    </w:p>
    <w:p w14:paraId="6FD20E82" w14:textId="12D605EC" w:rsidR="00C420E2" w:rsidRPr="00664F53" w:rsidRDefault="00C420E2" w:rsidP="001A389A">
      <w:pPr>
        <w:numPr>
          <w:ilvl w:val="0"/>
          <w:numId w:val="5"/>
        </w:numPr>
        <w:spacing w:after="150" w:line="276" w:lineRule="auto"/>
        <w:ind w:left="-142" w:right="-483" w:hanging="426"/>
        <w:jc w:val="both"/>
        <w:rPr>
          <w:rFonts w:ascii="Aptos" w:eastAsia="Times New Roman" w:hAnsi="Aptos" w:cs="Arial"/>
          <w:color w:val="333333"/>
          <w:lang w:val="en-GB" w:eastAsia="en-GB"/>
        </w:rPr>
      </w:pPr>
      <w:r w:rsidRPr="00664F53">
        <w:rPr>
          <w:rFonts w:ascii="Aptos" w:eastAsia="Times New Roman" w:hAnsi="Aptos" w:cs="Arial"/>
          <w:color w:val="333333"/>
          <w:lang w:val="en-GB" w:eastAsia="en-GB"/>
        </w:rPr>
        <w:t>The same abstract cannot be submitted by different delegates.</w:t>
      </w:r>
    </w:p>
    <w:p w14:paraId="68838789" w14:textId="77777777" w:rsidR="00C420E2" w:rsidRPr="00664F53" w:rsidRDefault="00C420E2" w:rsidP="001A389A">
      <w:pPr>
        <w:numPr>
          <w:ilvl w:val="0"/>
          <w:numId w:val="5"/>
        </w:numPr>
        <w:spacing w:after="150" w:line="276" w:lineRule="auto"/>
        <w:ind w:left="-142" w:right="-483" w:hanging="426"/>
        <w:jc w:val="both"/>
        <w:rPr>
          <w:rFonts w:ascii="Aptos" w:eastAsia="Times New Roman" w:hAnsi="Aptos" w:cs="Arial"/>
          <w:color w:val="333333"/>
          <w:lang w:val="en-GB" w:eastAsia="en-GB"/>
        </w:rPr>
      </w:pPr>
      <w:r w:rsidRPr="00664F53">
        <w:rPr>
          <w:rFonts w:ascii="Aptos" w:eastAsia="Times New Roman" w:hAnsi="Aptos" w:cs="Arial"/>
          <w:color w:val="333333"/>
          <w:lang w:val="en-GB" w:eastAsia="en-GB"/>
        </w:rPr>
        <w:t xml:space="preserve">Abstracts will be assessed by Conference Organizing Committee </w:t>
      </w:r>
    </w:p>
    <w:p w14:paraId="18F38BC8" w14:textId="5B34BB42" w:rsidR="00C420E2" w:rsidRPr="00664F53" w:rsidRDefault="00C420E2" w:rsidP="001A389A">
      <w:pPr>
        <w:numPr>
          <w:ilvl w:val="0"/>
          <w:numId w:val="5"/>
        </w:numPr>
        <w:spacing w:after="150" w:line="276" w:lineRule="auto"/>
        <w:ind w:left="-142" w:right="-483" w:hanging="426"/>
        <w:jc w:val="both"/>
        <w:rPr>
          <w:rFonts w:ascii="Aptos" w:eastAsia="Times New Roman" w:hAnsi="Aptos" w:cs="Arial"/>
          <w:color w:val="333333"/>
          <w:lang w:val="en-GB" w:eastAsia="en-GB"/>
        </w:rPr>
      </w:pPr>
      <w:r w:rsidRPr="00664F53">
        <w:rPr>
          <w:rFonts w:ascii="Aptos" w:eastAsia="Times New Roman" w:hAnsi="Aptos" w:cs="Arial"/>
          <w:color w:val="333333"/>
          <w:lang w:val="en-GB" w:eastAsia="en-GB"/>
        </w:rPr>
        <w:t xml:space="preserve">Notification of outcomes of assessment for oral presentation and bursaries, and confirmation of acceptance of abstracts to the Congress, are expected to be available in </w:t>
      </w:r>
      <w:r w:rsidR="00464267">
        <w:rPr>
          <w:rFonts w:ascii="Aptos" w:eastAsia="Times New Roman" w:hAnsi="Aptos" w:cs="Arial"/>
          <w:color w:val="333333"/>
          <w:lang w:val="en-GB" w:eastAsia="en-GB"/>
        </w:rPr>
        <w:t xml:space="preserve">late May </w:t>
      </w:r>
      <w:r w:rsidRPr="00664F53">
        <w:rPr>
          <w:rFonts w:ascii="Aptos" w:eastAsia="Times New Roman" w:hAnsi="Aptos" w:cs="Arial"/>
          <w:color w:val="333333"/>
          <w:lang w:val="en-GB" w:eastAsia="en-GB"/>
        </w:rPr>
        <w:t>2024.</w:t>
      </w:r>
    </w:p>
    <w:p w14:paraId="5246388B" w14:textId="57FD403B" w:rsidR="00C420E2" w:rsidRPr="00664F53" w:rsidRDefault="00C420E2" w:rsidP="001A389A">
      <w:pPr>
        <w:ind w:left="-142" w:right="-483"/>
        <w:rPr>
          <w:rFonts w:ascii="Arial" w:eastAsia="Times New Roman" w:hAnsi="Arial" w:cs="Arial"/>
          <w:lang w:val="en-GB" w:eastAsia="en-GB"/>
        </w:rPr>
      </w:pPr>
      <w:r w:rsidRPr="00664F5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8F00" wp14:editId="25BB2A98">
                <wp:simplePos x="0" y="0"/>
                <wp:positionH relativeFrom="column">
                  <wp:posOffset>-637902</wp:posOffset>
                </wp:positionH>
                <wp:positionV relativeFrom="paragraph">
                  <wp:posOffset>29210</wp:posOffset>
                </wp:positionV>
                <wp:extent cx="6666412" cy="1489166"/>
                <wp:effectExtent l="0" t="0" r="1270" b="0"/>
                <wp:wrapNone/>
                <wp:docPr id="10374267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412" cy="1489166"/>
                        </a:xfrm>
                        <a:prstGeom prst="rect">
                          <a:avLst/>
                        </a:prstGeom>
                        <a:solidFill>
                          <a:srgbClr val="CFDEE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AB41" w14:textId="77777777" w:rsidR="00C420E2" w:rsidRPr="00623CA0" w:rsidRDefault="00C420E2" w:rsidP="00BF1494">
                            <w:pPr>
                              <w:pBdr>
                                <w:bottom w:val="single" w:sz="4" w:space="1" w:color="auto"/>
                              </w:pBdr>
                              <w:spacing w:before="120" w:line="240" w:lineRule="auto"/>
                              <w:jc w:val="both"/>
                              <w:outlineLvl w:val="1"/>
                              <w:rPr>
                                <w:rFonts w:ascii="Galvji" w:eastAsia="Times New Roman" w:hAnsi="Galvji" w:cs="Arial"/>
                                <w:color w:val="07477A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623CA0">
                              <w:rPr>
                                <w:rFonts w:ascii="Galvji" w:eastAsia="Times New Roman" w:hAnsi="Galvji" w:cs="Arial"/>
                                <w:color w:val="07477A"/>
                                <w:spacing w:val="8"/>
                                <w:sz w:val="32"/>
                                <w:szCs w:val="32"/>
                                <w:lang w:eastAsia="en-GB"/>
                              </w:rPr>
                              <w:t>DEADLINES</w:t>
                            </w:r>
                          </w:p>
                          <w:p w14:paraId="6C148FE9" w14:textId="26182F47" w:rsidR="00C420E2" w:rsidRPr="00623CA0" w:rsidRDefault="00C420E2" w:rsidP="00BD5E8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jc w:val="both"/>
                              <w:outlineLvl w:val="1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767171" w:themeColor="background2" w:themeShade="80"/>
                                <w:spacing w:val="8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623CA0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GB" w:eastAsia="en-GB"/>
                              </w:rPr>
                              <w:t xml:space="preserve">Main </w:t>
                            </w:r>
                            <w:r w:rsidR="00B965C4" w:rsidRPr="00623CA0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GB" w:eastAsia="en-GB"/>
                              </w:rPr>
                              <w:t>a</w:t>
                            </w:r>
                            <w:r w:rsidRPr="00623CA0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GB" w:eastAsia="en-GB"/>
                              </w:rPr>
                              <w:t xml:space="preserve">bstract </w:t>
                            </w:r>
                            <w:r w:rsidR="00B965C4" w:rsidRPr="00623CA0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GB" w:eastAsia="en-GB"/>
                              </w:rPr>
                              <w:t>s</w:t>
                            </w:r>
                            <w:r w:rsidRPr="00623CA0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GB" w:eastAsia="en-GB"/>
                              </w:rPr>
                              <w:t>ubmission deadline</w:t>
                            </w:r>
                            <w:r w:rsidR="00B965C4" w:rsidRPr="00623CA0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-</w:t>
                            </w:r>
                            <w:r w:rsidRPr="00623CA0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May 15, 2024</w:t>
                            </w:r>
                          </w:p>
                          <w:p w14:paraId="4E069942" w14:textId="5E2F59C7" w:rsidR="00C420E2" w:rsidRPr="00623CA0" w:rsidRDefault="00C420E2" w:rsidP="00664F5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="Aptos" w:eastAsia="Times New Roman" w:hAnsi="Aptos" w:cs="Arial"/>
                                <w:color w:val="767171" w:themeColor="background2" w:themeShade="8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623CA0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GB" w:eastAsia="en-GB"/>
                              </w:rPr>
                              <w:t>Registration deadline for abstract submitters</w:t>
                            </w:r>
                            <w:r w:rsidR="00B965C4" w:rsidRPr="00623CA0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-</w:t>
                            </w:r>
                            <w:r w:rsidRPr="00623CA0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May 15, 2024</w:t>
                            </w:r>
                          </w:p>
                          <w:p w14:paraId="6E3255F6" w14:textId="77777777" w:rsidR="00C420E2" w:rsidRPr="00B965C4" w:rsidRDefault="00C420E2" w:rsidP="00913FE3">
                            <w:pPr>
                              <w:spacing w:after="0" w:line="240" w:lineRule="auto"/>
                              <w:jc w:val="both"/>
                              <w:rPr>
                                <w:rFonts w:ascii="Aptos" w:hAnsi="Aptos" w:cs="Arial"/>
                                <w:color w:val="767171" w:themeColor="background2" w:themeShade="80"/>
                                <w:lang w:val="en-GB"/>
                              </w:rPr>
                            </w:pPr>
                            <w:r w:rsidRPr="00B965C4"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767171" w:themeColor="background2" w:themeShade="80"/>
                                <w:lang w:val="en-GB" w:eastAsia="en-GB"/>
                              </w:rPr>
                              <w:t>Abstract submission AND free registration of the presenting author</w:t>
                            </w:r>
                            <w:r w:rsidRPr="00B965C4">
                              <w:rPr>
                                <w:rFonts w:ascii="Aptos" w:eastAsia="Times New Roman" w:hAnsi="Aptos" w:cs="Arial"/>
                                <w:color w:val="767171" w:themeColor="background2" w:themeShade="80"/>
                                <w:lang w:val="en-GB" w:eastAsia="en-GB"/>
                              </w:rPr>
                              <w:t> must be complete by May 15</w:t>
                            </w:r>
                            <w:r w:rsidRPr="00B965C4">
                              <w:rPr>
                                <w:rFonts w:ascii="Aptos" w:eastAsia="Times New Roman" w:hAnsi="Aptos" w:cs="Arial"/>
                                <w:color w:val="767171" w:themeColor="background2" w:themeShade="80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 w:rsidRPr="00B965C4">
                              <w:rPr>
                                <w:rFonts w:ascii="Aptos" w:eastAsia="Times New Roman" w:hAnsi="Aptos" w:cs="Arial"/>
                                <w:color w:val="767171" w:themeColor="background2" w:themeShade="80"/>
                                <w:lang w:val="en-GB" w:eastAsia="en-GB"/>
                              </w:rPr>
                              <w:t xml:space="preserve">, </w:t>
                            </w:r>
                            <w:proofErr w:type="gramStart"/>
                            <w:r w:rsidRPr="00B965C4">
                              <w:rPr>
                                <w:rFonts w:ascii="Aptos" w:eastAsia="Times New Roman" w:hAnsi="Aptos" w:cs="Arial"/>
                                <w:color w:val="767171" w:themeColor="background2" w:themeShade="80"/>
                                <w:lang w:val="en-GB" w:eastAsia="en-GB"/>
                              </w:rPr>
                              <w:t>2024</w:t>
                            </w:r>
                            <w:proofErr w:type="gramEnd"/>
                            <w:r w:rsidRPr="00B965C4">
                              <w:rPr>
                                <w:rFonts w:ascii="Aptos" w:eastAsia="Times New Roman" w:hAnsi="Aptos" w:cs="Arial"/>
                                <w:color w:val="767171" w:themeColor="background2" w:themeShade="80"/>
                                <w:lang w:val="en-GB" w:eastAsia="en-GB"/>
                              </w:rPr>
                              <w:t xml:space="preserve"> to ensure assessment of abstracts and inclusion in </w:t>
                            </w:r>
                            <w:r w:rsidRPr="00B965C4">
                              <w:rPr>
                                <w:rFonts w:ascii="Aptos" w:eastAsia="Times New Roman" w:hAnsi="Aptos" w:cs="Arial"/>
                                <w:i/>
                                <w:iCs/>
                                <w:color w:val="767171" w:themeColor="background2" w:themeShade="80"/>
                                <w:lang w:val="en-GB" w:eastAsia="en-GB"/>
                              </w:rPr>
                              <w:t>the 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8F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25pt;margin-top:2.3pt;width:524.9pt;height:1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" fillcolor="#cfdeea" stroked="f" strokeweight=".5pt">
                <v:textbox>
                  <w:txbxContent>
                    <w:p w14:paraId="2BB9AB41" w14:textId="77777777" w:rsidR="00C420E2" w:rsidRPr="00623CA0" w:rsidRDefault="00C420E2" w:rsidP="00BF1494">
                      <w:pPr>
                        <w:pBdr>
                          <w:bottom w:val="single" w:sz="4" w:space="1" w:color="auto"/>
                        </w:pBdr>
                        <w:spacing w:before="120" w:line="240" w:lineRule="auto"/>
                        <w:jc w:val="both"/>
                        <w:outlineLvl w:val="1"/>
                        <w:rPr>
                          <w:rFonts w:ascii="Galvji" w:eastAsia="Times New Roman" w:hAnsi="Galvji" w:cs="Arial"/>
                          <w:color w:val="07477A"/>
                          <w:sz w:val="32"/>
                          <w:szCs w:val="32"/>
                          <w:lang w:val="en-GB" w:eastAsia="en-GB"/>
                        </w:rPr>
                      </w:pPr>
                      <w:r w:rsidRPr="00623CA0">
                        <w:rPr>
                          <w:rFonts w:ascii="Galvji" w:eastAsia="Times New Roman" w:hAnsi="Galvji" w:cs="Arial"/>
                          <w:color w:val="07477A"/>
                          <w:spacing w:val="8"/>
                          <w:sz w:val="32"/>
                          <w:szCs w:val="32"/>
                          <w:lang w:eastAsia="en-GB"/>
                        </w:rPr>
                        <w:t>DEADLINES</w:t>
                      </w:r>
                    </w:p>
                    <w:p w14:paraId="6C148FE9" w14:textId="26182F47" w:rsidR="00C420E2" w:rsidRPr="00623CA0" w:rsidRDefault="00C420E2" w:rsidP="00BD5E8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jc w:val="both"/>
                        <w:outlineLvl w:val="1"/>
                        <w:rPr>
                          <w:rFonts w:ascii="Aptos" w:eastAsia="Times New Roman" w:hAnsi="Aptos" w:cs="Arial"/>
                          <w:b/>
                          <w:bCs/>
                          <w:color w:val="767171" w:themeColor="background2" w:themeShade="80"/>
                          <w:spacing w:val="8"/>
                          <w:sz w:val="28"/>
                          <w:szCs w:val="28"/>
                          <w:lang w:val="en-GB" w:eastAsia="en-GB"/>
                        </w:rPr>
                      </w:pPr>
                      <w:r w:rsidRPr="00623CA0">
                        <w:rPr>
                          <w:rFonts w:ascii="Aptos" w:eastAsia="Times New Roman" w:hAnsi="Aptos"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GB" w:eastAsia="en-GB"/>
                        </w:rPr>
                        <w:t xml:space="preserve">Main </w:t>
                      </w:r>
                      <w:r w:rsidR="00B965C4" w:rsidRPr="00623CA0">
                        <w:rPr>
                          <w:rFonts w:ascii="Aptos" w:eastAsia="Times New Roman" w:hAnsi="Aptos"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GB" w:eastAsia="en-GB"/>
                        </w:rPr>
                        <w:t>a</w:t>
                      </w:r>
                      <w:r w:rsidRPr="00623CA0">
                        <w:rPr>
                          <w:rFonts w:ascii="Aptos" w:eastAsia="Times New Roman" w:hAnsi="Aptos"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GB" w:eastAsia="en-GB"/>
                        </w:rPr>
                        <w:t xml:space="preserve">bstract </w:t>
                      </w:r>
                      <w:r w:rsidR="00B965C4" w:rsidRPr="00623CA0">
                        <w:rPr>
                          <w:rFonts w:ascii="Aptos" w:eastAsia="Times New Roman" w:hAnsi="Aptos"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GB" w:eastAsia="en-GB"/>
                        </w:rPr>
                        <w:t>s</w:t>
                      </w:r>
                      <w:r w:rsidRPr="00623CA0">
                        <w:rPr>
                          <w:rFonts w:ascii="Aptos" w:eastAsia="Times New Roman" w:hAnsi="Aptos"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GB" w:eastAsia="en-GB"/>
                        </w:rPr>
                        <w:t>ubmission deadline</w:t>
                      </w:r>
                      <w:r w:rsidR="00B965C4" w:rsidRPr="00623CA0">
                        <w:rPr>
                          <w:rFonts w:ascii="Aptos" w:eastAsia="Times New Roman" w:hAnsi="Aptos"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GB" w:eastAsia="en-GB"/>
                        </w:rPr>
                        <w:t xml:space="preserve"> -</w:t>
                      </w:r>
                      <w:r w:rsidRPr="00623CA0">
                        <w:rPr>
                          <w:rFonts w:ascii="Aptos" w:eastAsia="Times New Roman" w:hAnsi="Aptos"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GB" w:eastAsia="en-GB"/>
                        </w:rPr>
                        <w:t xml:space="preserve"> May 15, 2024</w:t>
                      </w:r>
                    </w:p>
                    <w:p w14:paraId="4E069942" w14:textId="5E2F59C7" w:rsidR="00C420E2" w:rsidRPr="00623CA0" w:rsidRDefault="00C420E2" w:rsidP="00664F5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jc w:val="both"/>
                        <w:rPr>
                          <w:rFonts w:ascii="Aptos" w:eastAsia="Times New Roman" w:hAnsi="Aptos" w:cs="Arial"/>
                          <w:color w:val="767171" w:themeColor="background2" w:themeShade="80"/>
                          <w:sz w:val="28"/>
                          <w:szCs w:val="28"/>
                          <w:lang w:val="en-GB" w:eastAsia="en-GB"/>
                        </w:rPr>
                      </w:pPr>
                      <w:r w:rsidRPr="00623CA0">
                        <w:rPr>
                          <w:rFonts w:ascii="Aptos" w:eastAsia="Times New Roman" w:hAnsi="Aptos"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GB" w:eastAsia="en-GB"/>
                        </w:rPr>
                        <w:t>Registration deadline for abstract submitters</w:t>
                      </w:r>
                      <w:r w:rsidR="00B965C4" w:rsidRPr="00623CA0">
                        <w:rPr>
                          <w:rFonts w:ascii="Aptos" w:eastAsia="Times New Roman" w:hAnsi="Aptos"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GB" w:eastAsia="en-GB"/>
                        </w:rPr>
                        <w:t xml:space="preserve"> -</w:t>
                      </w:r>
                      <w:r w:rsidRPr="00623CA0">
                        <w:rPr>
                          <w:rFonts w:ascii="Aptos" w:eastAsia="Times New Roman" w:hAnsi="Aptos" w:cs="Arial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GB" w:eastAsia="en-GB"/>
                        </w:rPr>
                        <w:t xml:space="preserve"> May 15, 2024</w:t>
                      </w:r>
                    </w:p>
                    <w:p w14:paraId="6E3255F6" w14:textId="77777777" w:rsidR="00C420E2" w:rsidRPr="00B965C4" w:rsidRDefault="00C420E2" w:rsidP="00913FE3">
                      <w:pPr>
                        <w:spacing w:after="0" w:line="240" w:lineRule="auto"/>
                        <w:jc w:val="both"/>
                        <w:rPr>
                          <w:rFonts w:ascii="Aptos" w:hAnsi="Aptos" w:cs="Arial"/>
                          <w:color w:val="767171" w:themeColor="background2" w:themeShade="80"/>
                          <w:lang w:val="en-GB"/>
                        </w:rPr>
                      </w:pPr>
                      <w:r w:rsidRPr="00B965C4">
                        <w:rPr>
                          <w:rFonts w:ascii="Aptos" w:eastAsia="Times New Roman" w:hAnsi="Aptos" w:cs="Arial"/>
                          <w:b/>
                          <w:bCs/>
                          <w:color w:val="767171" w:themeColor="background2" w:themeShade="80"/>
                          <w:lang w:val="en-GB" w:eastAsia="en-GB"/>
                        </w:rPr>
                        <w:t>Abstract submission AND free registration of the presenting author</w:t>
                      </w:r>
                      <w:r w:rsidRPr="00B965C4">
                        <w:rPr>
                          <w:rFonts w:ascii="Aptos" w:eastAsia="Times New Roman" w:hAnsi="Aptos" w:cs="Arial"/>
                          <w:color w:val="767171" w:themeColor="background2" w:themeShade="80"/>
                          <w:lang w:val="en-GB" w:eastAsia="en-GB"/>
                        </w:rPr>
                        <w:t> must be complete by May 15</w:t>
                      </w:r>
                      <w:r w:rsidRPr="00B965C4">
                        <w:rPr>
                          <w:rFonts w:ascii="Aptos" w:eastAsia="Times New Roman" w:hAnsi="Aptos" w:cs="Arial"/>
                          <w:color w:val="767171" w:themeColor="background2" w:themeShade="80"/>
                          <w:vertAlign w:val="superscript"/>
                          <w:lang w:val="en-GB" w:eastAsia="en-GB"/>
                        </w:rPr>
                        <w:t>th</w:t>
                      </w:r>
                      <w:r w:rsidRPr="00B965C4">
                        <w:rPr>
                          <w:rFonts w:ascii="Aptos" w:eastAsia="Times New Roman" w:hAnsi="Aptos" w:cs="Arial"/>
                          <w:color w:val="767171" w:themeColor="background2" w:themeShade="80"/>
                          <w:lang w:val="en-GB" w:eastAsia="en-GB"/>
                        </w:rPr>
                        <w:t xml:space="preserve">, </w:t>
                      </w:r>
                      <w:proofErr w:type="gramStart"/>
                      <w:r w:rsidRPr="00B965C4">
                        <w:rPr>
                          <w:rFonts w:ascii="Aptos" w:eastAsia="Times New Roman" w:hAnsi="Aptos" w:cs="Arial"/>
                          <w:color w:val="767171" w:themeColor="background2" w:themeShade="80"/>
                          <w:lang w:val="en-GB" w:eastAsia="en-GB"/>
                        </w:rPr>
                        <w:t>2024</w:t>
                      </w:r>
                      <w:proofErr w:type="gramEnd"/>
                      <w:r w:rsidRPr="00B965C4">
                        <w:rPr>
                          <w:rFonts w:ascii="Aptos" w:eastAsia="Times New Roman" w:hAnsi="Aptos" w:cs="Arial"/>
                          <w:color w:val="767171" w:themeColor="background2" w:themeShade="80"/>
                          <w:lang w:val="en-GB" w:eastAsia="en-GB"/>
                        </w:rPr>
                        <w:t xml:space="preserve"> to ensure assessment of abstracts and inclusion in </w:t>
                      </w:r>
                      <w:r w:rsidRPr="00B965C4">
                        <w:rPr>
                          <w:rFonts w:ascii="Aptos" w:eastAsia="Times New Roman" w:hAnsi="Aptos" w:cs="Arial"/>
                          <w:i/>
                          <w:iCs/>
                          <w:color w:val="767171" w:themeColor="background2" w:themeShade="80"/>
                          <w:lang w:val="en-GB" w:eastAsia="en-GB"/>
                        </w:rPr>
                        <w:t>the programme</w:t>
                      </w:r>
                    </w:p>
                  </w:txbxContent>
                </v:textbox>
              </v:shape>
            </w:pict>
          </mc:Fallback>
        </mc:AlternateContent>
      </w:r>
    </w:p>
    <w:p w14:paraId="5DAF31B5" w14:textId="77777777" w:rsidR="00701770" w:rsidRPr="00664F53" w:rsidRDefault="00701770" w:rsidP="001A389A">
      <w:pPr>
        <w:ind w:left="-142" w:right="-483"/>
        <w:rPr>
          <w:b/>
          <w:bCs/>
          <w:lang w:val="en-GB"/>
        </w:rPr>
      </w:pPr>
    </w:p>
    <w:sectPr w:rsidR="00701770" w:rsidRPr="00664F53" w:rsidSect="00BB45D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269" w:right="1800" w:bottom="1843" w:left="1800" w:header="1471" w:footer="1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1276" w14:textId="77777777" w:rsidR="00BB45DB" w:rsidRDefault="00BB45DB" w:rsidP="000A7CBE">
      <w:pPr>
        <w:spacing w:after="0" w:line="240" w:lineRule="auto"/>
      </w:pPr>
      <w:r>
        <w:separator/>
      </w:r>
    </w:p>
  </w:endnote>
  <w:endnote w:type="continuationSeparator" w:id="0">
    <w:p w14:paraId="7FDA5830" w14:textId="77777777" w:rsidR="00BB45DB" w:rsidRDefault="00BB45DB" w:rsidP="000A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alvji">
    <w:panose1 w:val="020B0504020202020204"/>
    <w:charset w:val="4D"/>
    <w:family w:val="swiss"/>
    <w:pitch w:val="variable"/>
    <w:sig w:usb0="A00000EF" w:usb1="5000204A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8776" w14:textId="781840A2" w:rsidR="00C877D6" w:rsidRDefault="00C877D6">
    <w:pPr>
      <w:pStyle w:val="Piedepgina"/>
    </w:pPr>
    <w:r>
      <w:rPr>
        <w:noProof/>
        <w:lang w:eastAsia="el-GR"/>
      </w:rPr>
      <w:drawing>
        <wp:anchor distT="0" distB="0" distL="114300" distR="114300" simplePos="0" relativeHeight="251666432" behindDoc="0" locked="0" layoutInCell="1" allowOverlap="1" wp14:anchorId="55747DFD" wp14:editId="11E09A78">
          <wp:simplePos x="0" y="0"/>
          <wp:positionH relativeFrom="margin">
            <wp:posOffset>-1131570</wp:posOffset>
          </wp:positionH>
          <wp:positionV relativeFrom="margin">
            <wp:posOffset>7349861</wp:posOffset>
          </wp:positionV>
          <wp:extent cx="7538400" cy="1890000"/>
          <wp:effectExtent l="0" t="0" r="5715" b="0"/>
          <wp:wrapNone/>
          <wp:docPr id="1853177938" name="Εικόνα 1853177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8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B157" w14:textId="77777777" w:rsidR="00BB45DB" w:rsidRDefault="00BB45DB" w:rsidP="000A7CBE">
      <w:pPr>
        <w:spacing w:after="0" w:line="240" w:lineRule="auto"/>
      </w:pPr>
      <w:r>
        <w:separator/>
      </w:r>
    </w:p>
  </w:footnote>
  <w:footnote w:type="continuationSeparator" w:id="0">
    <w:p w14:paraId="66CEE308" w14:textId="77777777" w:rsidR="00BB45DB" w:rsidRDefault="00BB45DB" w:rsidP="000A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F58C" w14:textId="77777777" w:rsidR="00C01ACC" w:rsidRDefault="00BB45DB">
    <w:pPr>
      <w:pStyle w:val="Encabezado"/>
    </w:pPr>
    <w:r>
      <w:rPr>
        <w:noProof/>
        <w:lang w:eastAsia="el-GR"/>
      </w:rPr>
      <w:pict w14:anchorId="4478B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543547" o:spid="_x0000_s1026" type="#_x0000_t75" alt="" style="position:absolute;margin-left:0;margin-top:0;width:595.75pt;height:84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25D4" w14:textId="7296BCD3" w:rsidR="000A7CBE" w:rsidRPr="005F4218" w:rsidRDefault="005F4218">
    <w:pPr>
      <w:pStyle w:val="Encabezado"/>
      <w:rPr>
        <w:lang w:val="en-GB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BD6CD1C" wp14:editId="48E69374">
              <wp:simplePos x="0" y="0"/>
              <wp:positionH relativeFrom="column">
                <wp:posOffset>2906395</wp:posOffset>
              </wp:positionH>
              <wp:positionV relativeFrom="paragraph">
                <wp:posOffset>323537</wp:posOffset>
              </wp:positionV>
              <wp:extent cx="3370998" cy="354842"/>
              <wp:effectExtent l="0" t="0" r="0" b="1270"/>
              <wp:wrapNone/>
              <wp:docPr id="108634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0998" cy="3548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7FEF9F" w14:textId="77777777" w:rsidR="005F4218" w:rsidRPr="005F4218" w:rsidRDefault="005F4218" w:rsidP="005F4218">
                          <w:pPr>
                            <w:jc w:val="right"/>
                            <w:rPr>
                              <w:color w:val="002060"/>
                              <w:sz w:val="13"/>
                              <w:szCs w:val="13"/>
                              <w:lang w:val="en-GB"/>
                            </w:rPr>
                          </w:pPr>
                          <w:r w:rsidRPr="005F4218">
                            <w:rPr>
                              <w:color w:val="002060"/>
                              <w:sz w:val="13"/>
                              <w:szCs w:val="13"/>
                              <w:lang w:val="en-GB"/>
                            </w:rPr>
                            <w:t>European Network for the Study of Cholangiocarcinoma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6CD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8.85pt;margin-top:25.5pt;width:265.45pt;height:2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" fillcolor="white [3201]" stroked="f" strokeweight=".5pt">
              <v:textbox>
                <w:txbxContent>
                  <w:p w14:paraId="757FEF9F" w14:textId="77777777" w:rsidR="005F4218" w:rsidRPr="005F4218" w:rsidRDefault="005F4218" w:rsidP="005F4218">
                    <w:pPr>
                      <w:jc w:val="right"/>
                      <w:rPr>
                        <w:color w:val="002060"/>
                        <w:sz w:val="13"/>
                        <w:szCs w:val="13"/>
                        <w:lang w:val="en-GB"/>
                      </w:rPr>
                    </w:pPr>
                    <w:r w:rsidRPr="005F4218">
                      <w:rPr>
                        <w:color w:val="002060"/>
                        <w:sz w:val="13"/>
                        <w:szCs w:val="13"/>
                        <w:lang w:val="en-GB"/>
                      </w:rPr>
                      <w:t>European Network for the Study of Cholangiocarcinoma</w:t>
                    </w:r>
                  </w:p>
                </w:txbxContent>
              </v:textbox>
            </v:shape>
          </w:pict>
        </mc:Fallback>
      </mc:AlternateContent>
    </w:r>
    <w:r w:rsidRPr="00642A89">
      <w:rPr>
        <w:rFonts w:ascii="Arial" w:hAnsi="Arial" w:cs="Arial"/>
        <w:noProof/>
      </w:rPr>
      <w:drawing>
        <wp:anchor distT="0" distB="0" distL="114300" distR="114300" simplePos="0" relativeHeight="251668480" behindDoc="0" locked="0" layoutInCell="1" allowOverlap="1" wp14:anchorId="0727F2C8" wp14:editId="313F0727">
          <wp:simplePos x="0" y="0"/>
          <wp:positionH relativeFrom="column">
            <wp:posOffset>5268035</wp:posOffset>
          </wp:positionH>
          <wp:positionV relativeFrom="paragraph">
            <wp:posOffset>-723331</wp:posOffset>
          </wp:positionV>
          <wp:extent cx="857090" cy="1066402"/>
          <wp:effectExtent l="0" t="0" r="0" b="635"/>
          <wp:wrapNone/>
          <wp:docPr id="11056539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77" r="16244"/>
                  <a:stretch/>
                </pic:blipFill>
                <pic:spPr bwMode="auto">
                  <a:xfrm>
                    <a:off x="0" y="0"/>
                    <a:ext cx="857090" cy="1066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7D6"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431BF426" wp14:editId="6D03FE1B">
          <wp:simplePos x="0" y="0"/>
          <wp:positionH relativeFrom="margin">
            <wp:posOffset>-1134745</wp:posOffset>
          </wp:positionH>
          <wp:positionV relativeFrom="margin">
            <wp:posOffset>-1429756</wp:posOffset>
          </wp:positionV>
          <wp:extent cx="7610400" cy="1796400"/>
          <wp:effectExtent l="0" t="0" r="0" b="0"/>
          <wp:wrapNone/>
          <wp:docPr id="120431384" name="Εικόνα 120431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GB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FCD1" w14:textId="77777777" w:rsidR="00C01ACC" w:rsidRDefault="00BB45DB">
    <w:pPr>
      <w:pStyle w:val="Encabezado"/>
    </w:pPr>
    <w:r>
      <w:rPr>
        <w:noProof/>
        <w:lang w:eastAsia="el-GR"/>
      </w:rPr>
      <w:pict w14:anchorId="56F1F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543546" o:spid="_x0000_s1025" type="#_x0000_t75" alt="" style="position:absolute;margin-left:0;margin-top:0;width:595.75pt;height:84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8DE"/>
    <w:multiLevelType w:val="hybridMultilevel"/>
    <w:tmpl w:val="3D100CB8"/>
    <w:lvl w:ilvl="0" w:tplc="11961BD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3E88"/>
    <w:multiLevelType w:val="multilevel"/>
    <w:tmpl w:val="D7C40FCE"/>
    <w:lvl w:ilvl="0">
      <w:start w:val="1"/>
      <w:numFmt w:val="bullet"/>
      <w:lvlText w:val=""/>
      <w:lvlJc w:val="left"/>
      <w:pPr>
        <w:ind w:left="567" w:hanging="20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1B025B"/>
    <w:multiLevelType w:val="multilevel"/>
    <w:tmpl w:val="7A44E81A"/>
    <w:lvl w:ilvl="0">
      <w:start w:val="1"/>
      <w:numFmt w:val="bullet"/>
      <w:lvlText w:val="&gt;"/>
      <w:lvlJc w:val="left"/>
      <w:pPr>
        <w:ind w:left="720" w:hanging="360"/>
      </w:pPr>
      <w:rPr>
        <w:rFonts w:ascii="Futura" w:hAnsi="Futura" w:hint="default"/>
        <w:b/>
        <w:bCs/>
        <w:i w:val="0"/>
        <w:strike w:val="0"/>
        <w:dstrike w:val="0"/>
        <w:vanish w:val="0"/>
        <w:color w:val="7A98B1"/>
        <w:sz w:val="15"/>
        <w:u w:val="none"/>
        <w:vertAlign w:val="baseli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A0602F"/>
    <w:multiLevelType w:val="hybridMultilevel"/>
    <w:tmpl w:val="D7B25978"/>
    <w:lvl w:ilvl="0" w:tplc="AE9C2B4C">
      <w:start w:val="1"/>
      <w:numFmt w:val="bullet"/>
      <w:lvlText w:val="&gt;"/>
      <w:lvlJc w:val="left"/>
      <w:pPr>
        <w:ind w:left="720" w:hanging="360"/>
      </w:pPr>
      <w:rPr>
        <w:rFonts w:ascii="Futura" w:hAnsi="Futura" w:hint="default"/>
        <w:b/>
        <w:bCs/>
        <w:i w:val="0"/>
        <w:strike w:val="0"/>
        <w:dstrike w:val="0"/>
        <w:vanish w:val="0"/>
        <w:color w:val="7A98B1"/>
        <w:sz w:val="16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C3ADB"/>
    <w:multiLevelType w:val="multilevel"/>
    <w:tmpl w:val="24DE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3926944">
    <w:abstractNumId w:val="4"/>
  </w:num>
  <w:num w:numId="2" w16cid:durableId="297226081">
    <w:abstractNumId w:val="0"/>
  </w:num>
  <w:num w:numId="3" w16cid:durableId="2068453722">
    <w:abstractNumId w:val="3"/>
  </w:num>
  <w:num w:numId="4" w16cid:durableId="407119006">
    <w:abstractNumId w:val="1"/>
  </w:num>
  <w:num w:numId="5" w16cid:durableId="50779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BE"/>
    <w:rsid w:val="000307E7"/>
    <w:rsid w:val="00095A7B"/>
    <w:rsid w:val="000A7CBE"/>
    <w:rsid w:val="000B2828"/>
    <w:rsid w:val="0010198F"/>
    <w:rsid w:val="0011730B"/>
    <w:rsid w:val="001222B7"/>
    <w:rsid w:val="00181A8E"/>
    <w:rsid w:val="001A389A"/>
    <w:rsid w:val="001C167A"/>
    <w:rsid w:val="001D14A4"/>
    <w:rsid w:val="001E53ED"/>
    <w:rsid w:val="00220332"/>
    <w:rsid w:val="003603B0"/>
    <w:rsid w:val="003834E0"/>
    <w:rsid w:val="003C31D8"/>
    <w:rsid w:val="003C6EFE"/>
    <w:rsid w:val="003D6067"/>
    <w:rsid w:val="00462982"/>
    <w:rsid w:val="00464267"/>
    <w:rsid w:val="004E61A9"/>
    <w:rsid w:val="004F29FA"/>
    <w:rsid w:val="005A6BD4"/>
    <w:rsid w:val="005F39B8"/>
    <w:rsid w:val="005F4218"/>
    <w:rsid w:val="00606F65"/>
    <w:rsid w:val="00623CA0"/>
    <w:rsid w:val="00653B51"/>
    <w:rsid w:val="00664F53"/>
    <w:rsid w:val="006C194C"/>
    <w:rsid w:val="006D13ED"/>
    <w:rsid w:val="006D3467"/>
    <w:rsid w:val="0070153A"/>
    <w:rsid w:val="00701770"/>
    <w:rsid w:val="00765872"/>
    <w:rsid w:val="00792632"/>
    <w:rsid w:val="007D16C2"/>
    <w:rsid w:val="007D5867"/>
    <w:rsid w:val="00823113"/>
    <w:rsid w:val="00846FAD"/>
    <w:rsid w:val="008702A9"/>
    <w:rsid w:val="008D597A"/>
    <w:rsid w:val="00907229"/>
    <w:rsid w:val="00913FE3"/>
    <w:rsid w:val="009341C6"/>
    <w:rsid w:val="0093647C"/>
    <w:rsid w:val="009436D3"/>
    <w:rsid w:val="009A2142"/>
    <w:rsid w:val="009C5F5E"/>
    <w:rsid w:val="009F6FBE"/>
    <w:rsid w:val="00A024A7"/>
    <w:rsid w:val="00A62014"/>
    <w:rsid w:val="00A761E6"/>
    <w:rsid w:val="00B336B9"/>
    <w:rsid w:val="00B965C4"/>
    <w:rsid w:val="00BA742E"/>
    <w:rsid w:val="00BB0101"/>
    <w:rsid w:val="00BB3115"/>
    <w:rsid w:val="00BB45DB"/>
    <w:rsid w:val="00BD47C3"/>
    <w:rsid w:val="00BD5E80"/>
    <w:rsid w:val="00BD7653"/>
    <w:rsid w:val="00BF1494"/>
    <w:rsid w:val="00BF6447"/>
    <w:rsid w:val="00C01ACC"/>
    <w:rsid w:val="00C16DBB"/>
    <w:rsid w:val="00C2555A"/>
    <w:rsid w:val="00C420E2"/>
    <w:rsid w:val="00C447A6"/>
    <w:rsid w:val="00C77F1B"/>
    <w:rsid w:val="00C877D6"/>
    <w:rsid w:val="00CA1404"/>
    <w:rsid w:val="00D3445F"/>
    <w:rsid w:val="00D90FFB"/>
    <w:rsid w:val="00DB6914"/>
    <w:rsid w:val="00DD43B8"/>
    <w:rsid w:val="00E0058E"/>
    <w:rsid w:val="00E162BA"/>
    <w:rsid w:val="00E357A4"/>
    <w:rsid w:val="00EA33A9"/>
    <w:rsid w:val="00EE0301"/>
    <w:rsid w:val="00EE1685"/>
    <w:rsid w:val="00F314D1"/>
    <w:rsid w:val="00FD3F8C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1DD4B"/>
  <w15:chartTrackingRefBased/>
  <w15:docId w15:val="{336C9BD4-B100-4512-899D-F751EB34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C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BE"/>
  </w:style>
  <w:style w:type="paragraph" w:styleId="Piedepgina">
    <w:name w:val="footer"/>
    <w:basedOn w:val="Normal"/>
    <w:link w:val="PiedepginaCar"/>
    <w:uiPriority w:val="99"/>
    <w:unhideWhenUsed/>
    <w:rsid w:val="000A7C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BE"/>
  </w:style>
  <w:style w:type="character" w:styleId="Hipervnculo">
    <w:name w:val="Hyperlink"/>
    <w:basedOn w:val="Fuentedeprrafopredeter"/>
    <w:uiPriority w:val="99"/>
    <w:unhideWhenUsed/>
    <w:rsid w:val="00C420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420E2"/>
    <w:pPr>
      <w:ind w:left="720"/>
      <w:contextualSpacing/>
    </w:pPr>
  </w:style>
  <w:style w:type="paragraph" w:styleId="Revisin">
    <w:name w:val="Revision"/>
    <w:hidden/>
    <w:uiPriority w:val="99"/>
    <w:semiHidden/>
    <w:rsid w:val="00EE0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ecision-btc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31ED-2498-46FD-84CA-7A65B88D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samuel.v.kocsis@usal.es</cp:lastModifiedBy>
  <cp:revision>2</cp:revision>
  <dcterms:created xsi:type="dcterms:W3CDTF">2024-03-20T08:45:00Z</dcterms:created>
  <dcterms:modified xsi:type="dcterms:W3CDTF">2024-03-20T08:45:00Z</dcterms:modified>
</cp:coreProperties>
</file>